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10"/>
        <w:gridCol w:w="426"/>
        <w:gridCol w:w="2002"/>
        <w:gridCol w:w="10"/>
        <w:gridCol w:w="6658"/>
      </w:tblGrid>
      <w:tr w:rsidR="00CE544A" w:rsidRPr="00975B07" w:rsidTr="00F26428">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668" w:type="dxa"/>
            <w:gridSpan w:val="2"/>
            <w:shd w:val="clear" w:color="auto" w:fill="auto"/>
          </w:tcPr>
          <w:p w:rsidR="00F445B1" w:rsidRPr="00F95BC9" w:rsidRDefault="00EB6662" w:rsidP="004A6D2F">
            <w:pPr>
              <w:rPr>
                <w:rStyle w:val="Firstpagetablebold"/>
              </w:rPr>
            </w:pPr>
            <w:r>
              <w:rPr>
                <w:rStyle w:val="Firstpagetablebold"/>
              </w:rPr>
              <w:t>Council</w:t>
            </w:r>
          </w:p>
        </w:tc>
      </w:tr>
      <w:tr w:rsidR="00CE544A" w:rsidRPr="00975B07" w:rsidTr="00F26428">
        <w:tc>
          <w:tcPr>
            <w:tcW w:w="2438" w:type="dxa"/>
            <w:gridSpan w:val="3"/>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668" w:type="dxa"/>
            <w:gridSpan w:val="2"/>
            <w:shd w:val="clear" w:color="auto" w:fill="auto"/>
          </w:tcPr>
          <w:p w:rsidR="00F26428" w:rsidRDefault="00F26428" w:rsidP="005D0621">
            <w:pPr>
              <w:rPr>
                <w:rStyle w:val="Firstpagetablebold"/>
              </w:rPr>
            </w:pPr>
            <w:r>
              <w:rPr>
                <w:rStyle w:val="Firstpagetablebold"/>
              </w:rPr>
              <w:t>20 July 2020</w:t>
            </w:r>
          </w:p>
          <w:p w:rsidR="00F26428" w:rsidRPr="00F26428" w:rsidRDefault="00F26428" w:rsidP="00F26428">
            <w:pPr>
              <w:rPr>
                <w:b/>
              </w:rPr>
            </w:pPr>
            <w:r w:rsidRPr="00F26428">
              <w:rPr>
                <w:rStyle w:val="Firstpagetablebold"/>
                <w:b w:val="0"/>
              </w:rPr>
              <w:t xml:space="preserve">(originally </w:t>
            </w:r>
            <w:r>
              <w:rPr>
                <w:rStyle w:val="Firstpagetablebold"/>
                <w:b w:val="0"/>
              </w:rPr>
              <w:t>writ</w:t>
            </w:r>
            <w:r w:rsidR="005815B6">
              <w:rPr>
                <w:rStyle w:val="Firstpagetablebold"/>
                <w:b w:val="0"/>
              </w:rPr>
              <w:t>t</w:t>
            </w:r>
            <w:r>
              <w:rPr>
                <w:rStyle w:val="Firstpagetablebold"/>
                <w:b w:val="0"/>
              </w:rPr>
              <w:t>en</w:t>
            </w:r>
            <w:r w:rsidRPr="00F26428">
              <w:rPr>
                <w:rStyle w:val="Firstpagetablebold"/>
                <w:b w:val="0"/>
              </w:rPr>
              <w:t xml:space="preserve"> for the cancelled 30 March 2020 meeting)</w:t>
            </w:r>
          </w:p>
        </w:tc>
      </w:tr>
      <w:tr w:rsidR="00CE544A" w:rsidRPr="00975B07" w:rsidTr="00F26428">
        <w:tc>
          <w:tcPr>
            <w:tcW w:w="2438" w:type="dxa"/>
            <w:gridSpan w:val="3"/>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668" w:type="dxa"/>
            <w:gridSpan w:val="2"/>
            <w:shd w:val="clear" w:color="auto" w:fill="auto"/>
          </w:tcPr>
          <w:p w:rsidR="00F445B1" w:rsidRPr="001356F1" w:rsidRDefault="00EB6662" w:rsidP="004A6D2F">
            <w:pPr>
              <w:rPr>
                <w:rStyle w:val="Firstpagetablebold"/>
              </w:rPr>
            </w:pPr>
            <w:r>
              <w:rPr>
                <w:rStyle w:val="Firstpagetablebold"/>
              </w:rPr>
              <w:t>Director of Development</w:t>
            </w:r>
          </w:p>
        </w:tc>
      </w:tr>
      <w:tr w:rsidR="00CE544A" w:rsidRPr="00975B07" w:rsidTr="00F26428">
        <w:tc>
          <w:tcPr>
            <w:tcW w:w="2438" w:type="dxa"/>
            <w:gridSpan w:val="3"/>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668" w:type="dxa"/>
            <w:gridSpan w:val="2"/>
            <w:shd w:val="clear" w:color="auto" w:fill="auto"/>
          </w:tcPr>
          <w:p w:rsidR="00F445B1" w:rsidRPr="001356F1" w:rsidRDefault="00EB6662" w:rsidP="00220F89">
            <w:pPr>
              <w:rPr>
                <w:rStyle w:val="Firstpagetablebold"/>
              </w:rPr>
            </w:pPr>
            <w:r>
              <w:rPr>
                <w:rStyle w:val="Firstpagetablebold"/>
              </w:rPr>
              <w:t xml:space="preserve">Partnership </w:t>
            </w:r>
            <w:r w:rsidR="00220F89">
              <w:rPr>
                <w:rStyle w:val="Firstpagetablebold"/>
              </w:rPr>
              <w:t>Update</w:t>
            </w:r>
            <w:r>
              <w:rPr>
                <w:rStyle w:val="Firstpagetablebold"/>
              </w:rPr>
              <w:t xml:space="preserve">– Oxfordshire Local Enterprise Partnership </w:t>
            </w:r>
          </w:p>
        </w:tc>
      </w:tr>
      <w:tr w:rsidR="00D5547E" w:rsidTr="00F264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9096"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F264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658" w:type="dxa"/>
            <w:tcBorders>
              <w:top w:val="single" w:sz="8" w:space="0" w:color="000000"/>
              <w:left w:val="nil"/>
              <w:bottom w:val="nil"/>
              <w:right w:val="single" w:sz="8" w:space="0" w:color="000000"/>
            </w:tcBorders>
            <w:hideMark/>
          </w:tcPr>
          <w:p w:rsidR="00D5547E" w:rsidRPr="001356F1" w:rsidRDefault="00EB6662" w:rsidP="00821AAF">
            <w:r w:rsidRPr="00EB6662">
              <w:t>To provide members with an update on the progress and impact of the Oxfordshi</w:t>
            </w:r>
            <w:r>
              <w:t>re Local Enterprise Partnership</w:t>
            </w:r>
            <w:r w:rsidR="00A11E10">
              <w:t xml:space="preserve"> (OXLEP)</w:t>
            </w:r>
            <w:r w:rsidR="00D5547E" w:rsidRPr="001356F1">
              <w:t>.</w:t>
            </w:r>
          </w:p>
        </w:tc>
      </w:tr>
      <w:tr w:rsidR="00D5547E" w:rsidTr="00F264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658" w:type="dxa"/>
            <w:tcBorders>
              <w:top w:val="nil"/>
              <w:left w:val="nil"/>
              <w:bottom w:val="nil"/>
              <w:right w:val="single" w:sz="8" w:space="0" w:color="000000"/>
            </w:tcBorders>
            <w:hideMark/>
          </w:tcPr>
          <w:p w:rsidR="00D5547E" w:rsidRPr="001356F1" w:rsidRDefault="00EB6662" w:rsidP="005F7F7E">
            <w:r>
              <w:t>No</w:t>
            </w:r>
          </w:p>
        </w:tc>
      </w:tr>
      <w:tr w:rsidR="00D5547E" w:rsidTr="00F264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658" w:type="dxa"/>
            <w:tcBorders>
              <w:top w:val="nil"/>
              <w:left w:val="nil"/>
              <w:bottom w:val="nil"/>
              <w:right w:val="single" w:sz="8" w:space="0" w:color="000000"/>
            </w:tcBorders>
            <w:hideMark/>
          </w:tcPr>
          <w:p w:rsidR="00D5547E" w:rsidRPr="001356F1" w:rsidRDefault="00EB6662" w:rsidP="005F7F7E">
            <w:r>
              <w:t>Cllr Susan Brown, Leader of Oxford City Council and Economic Development Portfolio</w:t>
            </w:r>
            <w:r w:rsidR="00803CDF">
              <w:t xml:space="preserve"> </w:t>
            </w:r>
            <w:r>
              <w:t>holder</w:t>
            </w:r>
          </w:p>
        </w:tc>
      </w:tr>
      <w:tr w:rsidR="0080749A" w:rsidTr="00F264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658" w:type="dxa"/>
            <w:tcBorders>
              <w:top w:val="nil"/>
              <w:left w:val="nil"/>
              <w:bottom w:val="nil"/>
              <w:right w:val="single" w:sz="8" w:space="0" w:color="000000"/>
            </w:tcBorders>
          </w:tcPr>
          <w:p w:rsidR="0080749A" w:rsidRPr="001356F1" w:rsidRDefault="00EB6662" w:rsidP="005F7F7E">
            <w:r>
              <w:t>Fostering an Inclusive Economy</w:t>
            </w:r>
          </w:p>
        </w:tc>
      </w:tr>
      <w:tr w:rsidR="00D5547E" w:rsidTr="00F264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658" w:type="dxa"/>
            <w:tcBorders>
              <w:top w:val="nil"/>
              <w:left w:val="nil"/>
              <w:bottom w:val="nil"/>
              <w:right w:val="single" w:sz="8" w:space="0" w:color="000000"/>
            </w:tcBorders>
            <w:hideMark/>
          </w:tcPr>
          <w:p w:rsidR="00D5547E" w:rsidRPr="001356F1" w:rsidRDefault="00EB6662" w:rsidP="005F7F7E">
            <w:r>
              <w:t>Economic Development Strategy</w:t>
            </w:r>
          </w:p>
        </w:tc>
      </w:tr>
      <w:tr w:rsidR="005F7F7E" w:rsidRPr="00975B07" w:rsidTr="00F264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9096" w:type="dxa"/>
            <w:gridSpan w:val="4"/>
            <w:tcBorders>
              <w:bottom w:val="single" w:sz="8" w:space="0" w:color="000000"/>
            </w:tcBorders>
          </w:tcPr>
          <w:p w:rsidR="005F7F7E" w:rsidRPr="00975B07" w:rsidRDefault="00F26428" w:rsidP="00F26428">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w:t>
            </w:r>
            <w:r>
              <w:rPr>
                <w:rStyle w:val="Firstpagetablebold"/>
              </w:rPr>
              <w:t>Council</w:t>
            </w:r>
            <w:r w:rsidR="005F7F7E">
              <w:rPr>
                <w:rStyle w:val="Firstpagetablebold"/>
              </w:rPr>
              <w:t>:</w:t>
            </w:r>
          </w:p>
        </w:tc>
      </w:tr>
      <w:tr w:rsidR="0030208D" w:rsidRPr="00975B07" w:rsidTr="00F264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670" w:type="dxa"/>
            <w:gridSpan w:val="3"/>
            <w:tcBorders>
              <w:top w:val="single" w:sz="8" w:space="0" w:color="000000"/>
              <w:left w:val="nil"/>
              <w:bottom w:val="single" w:sz="4" w:space="0" w:color="auto"/>
              <w:right w:val="single" w:sz="8" w:space="0" w:color="000000"/>
            </w:tcBorders>
            <w:shd w:val="clear" w:color="auto" w:fill="auto"/>
          </w:tcPr>
          <w:p w:rsidR="0030208D" w:rsidRPr="001356F1" w:rsidRDefault="00F26428" w:rsidP="002069B3">
            <w:r>
              <w:rPr>
                <w:b/>
              </w:rPr>
              <w:t>C</w:t>
            </w:r>
            <w:r w:rsidR="00EB6662" w:rsidRPr="00EB6662">
              <w:rPr>
                <w:b/>
              </w:rPr>
              <w:t>omment</w:t>
            </w:r>
            <w:r>
              <w:rPr>
                <w:b/>
              </w:rPr>
              <w:t>s</w:t>
            </w:r>
            <w:r w:rsidR="00EB6662" w:rsidRPr="00EB6662">
              <w:rPr>
                <w:b/>
              </w:rPr>
              <w:t xml:space="preserve"> </w:t>
            </w:r>
            <w:r>
              <w:rPr>
                <w:b/>
              </w:rPr>
              <w:t xml:space="preserve">on </w:t>
            </w:r>
            <w:r w:rsidR="00EB6662" w:rsidRPr="00EB6662">
              <w:rPr>
                <w:b/>
              </w:rPr>
              <w:t>and note</w:t>
            </w:r>
            <w:r>
              <w:rPr>
                <w:b/>
              </w:rPr>
              <w:t>s</w:t>
            </w:r>
            <w:r w:rsidR="00EB6662" w:rsidRPr="00EB6662">
              <w:rPr>
                <w:b/>
              </w:rPr>
              <w:t xml:space="preserve"> the report.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229"/>
      </w:tblGrid>
      <w:tr w:rsidR="00966D42" w:rsidRPr="00975B07" w:rsidTr="00F26428">
        <w:tc>
          <w:tcPr>
            <w:tcW w:w="909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8077FD">
        <w:tc>
          <w:tcPr>
            <w:tcW w:w="1867"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7229" w:type="dxa"/>
            <w:tcBorders>
              <w:top w:val="single" w:sz="8" w:space="0" w:color="000000"/>
              <w:left w:val="nil"/>
              <w:bottom w:val="nil"/>
              <w:right w:val="single" w:sz="8" w:space="0" w:color="000000"/>
            </w:tcBorders>
          </w:tcPr>
          <w:p w:rsidR="00ED5860" w:rsidRPr="001356F1" w:rsidRDefault="00F26428" w:rsidP="004A6D2F">
            <w:r w:rsidRPr="00F26428">
              <w:t xml:space="preserve">Addendum to Council Report – </w:t>
            </w:r>
            <w:proofErr w:type="spellStart"/>
            <w:r w:rsidRPr="00F26428">
              <w:t>OXLEP</w:t>
            </w:r>
            <w:proofErr w:type="spellEnd"/>
            <w:r w:rsidRPr="00F26428">
              <w:t xml:space="preserve"> Update since March 2020</w:t>
            </w:r>
          </w:p>
        </w:tc>
      </w:tr>
      <w:tr w:rsidR="0030208D" w:rsidRPr="00975B07" w:rsidTr="008077FD">
        <w:tc>
          <w:tcPr>
            <w:tcW w:w="1867"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 xml:space="preserve">Appendix </w:t>
            </w:r>
            <w:r w:rsidR="00D82D6A">
              <w:t>2</w:t>
            </w:r>
          </w:p>
        </w:tc>
        <w:tc>
          <w:tcPr>
            <w:tcW w:w="7229" w:type="dxa"/>
            <w:tcBorders>
              <w:top w:val="nil"/>
              <w:left w:val="nil"/>
              <w:bottom w:val="single" w:sz="8" w:space="0" w:color="000000"/>
              <w:right w:val="single" w:sz="8" w:space="0" w:color="000000"/>
            </w:tcBorders>
          </w:tcPr>
          <w:p w:rsidR="0030208D" w:rsidRPr="001356F1" w:rsidRDefault="00F26428" w:rsidP="004A6D2F">
            <w:proofErr w:type="spellStart"/>
            <w:r>
              <w:t>OXLEP</w:t>
            </w:r>
            <w:proofErr w:type="spellEnd"/>
            <w:r>
              <w:t xml:space="preserve"> factsheet</w:t>
            </w:r>
          </w:p>
        </w:tc>
      </w:tr>
    </w:tbl>
    <w:p w:rsidR="0040736F" w:rsidRPr="001356F1" w:rsidRDefault="00F66DCA" w:rsidP="00220F89">
      <w:pPr>
        <w:pStyle w:val="Heading1"/>
        <w:jc w:val="both"/>
      </w:pPr>
      <w:r w:rsidRPr="001356F1">
        <w:t>Introduction and b</w:t>
      </w:r>
      <w:r w:rsidR="00151888" w:rsidRPr="001356F1">
        <w:t>ackground</w:t>
      </w:r>
      <w:r w:rsidR="00404032" w:rsidRPr="001356F1">
        <w:t xml:space="preserve"> </w:t>
      </w:r>
    </w:p>
    <w:p w:rsidR="00E87F7A" w:rsidRDefault="008201EC" w:rsidP="00220F89">
      <w:pPr>
        <w:pStyle w:val="ListParagraph"/>
        <w:jc w:val="both"/>
      </w:pPr>
      <w:r>
        <w:t>Now operating for nine years</w:t>
      </w:r>
      <w:r w:rsidR="00803CDF">
        <w:t>,</w:t>
      </w:r>
      <w:r w:rsidR="00EB6662" w:rsidRPr="00EB6662">
        <w:t xml:space="preserve"> Oxfordshire Local Enterprise Partnership Ltd (OxLEP) is </w:t>
      </w:r>
      <w:r w:rsidR="00803CDF">
        <w:t>the</w:t>
      </w:r>
      <w:r w:rsidR="00EB6662" w:rsidRPr="00EB6662">
        <w:t xml:space="preserve"> the </w:t>
      </w:r>
      <w:r w:rsidR="00EB6662">
        <w:t>over-arching local</w:t>
      </w:r>
      <w:r w:rsidR="00EB6662" w:rsidRPr="00EB6662">
        <w:t xml:space="preserve"> partnership promoting economic growth</w:t>
      </w:r>
      <w:r w:rsidR="00803CDF">
        <w:t>, and shaping</w:t>
      </w:r>
      <w:r w:rsidR="00803CDF" w:rsidRPr="00EB6662">
        <w:t xml:space="preserve"> the strategic d</w:t>
      </w:r>
      <w:r w:rsidR="00803CDF">
        <w:t>irection</w:t>
      </w:r>
      <w:r w:rsidR="00803CDF" w:rsidRPr="00EB6662">
        <w:t xml:space="preserve"> of the Oxfo</w:t>
      </w:r>
      <w:r w:rsidR="00803CDF">
        <w:t>rdshire economy</w:t>
      </w:r>
      <w:r w:rsidR="00EB6662" w:rsidRPr="00EB6662">
        <w:t xml:space="preserve">. </w:t>
      </w:r>
      <w:r w:rsidR="00A11E10">
        <w:t>Chief Executive</w:t>
      </w:r>
      <w:r w:rsidR="00EB6662" w:rsidRPr="00EB6662">
        <w:t>, Nigel Tipple leads a team of staff who work cl</w:t>
      </w:r>
      <w:r w:rsidR="00EB6662">
        <w:t>osely with a network of business representatives</w:t>
      </w:r>
      <w:r w:rsidR="00EB6662" w:rsidRPr="00EB6662">
        <w:t>, further and higher education representatives, and Economic Development officers.</w:t>
      </w:r>
    </w:p>
    <w:p w:rsidR="008201EC" w:rsidRDefault="00EB6662" w:rsidP="00220F89">
      <w:pPr>
        <w:pStyle w:val="ListParagraph"/>
        <w:jc w:val="both"/>
      </w:pPr>
      <w:r>
        <w:t xml:space="preserve">Jeremy Long was appointed as Board Chair in March 2016. He is currently </w:t>
      </w:r>
      <w:r w:rsidR="00A11E10">
        <w:t xml:space="preserve">Chief Executive </w:t>
      </w:r>
      <w:r>
        <w:t xml:space="preserve">for Europe of the Hong-Kong headquartered international railway and property group MTR Corporation, and has played a role in positioning the importance of Oxford Station. Cllr Susan Brown is the City Council’s </w:t>
      </w:r>
      <w:r w:rsidR="00A11E10">
        <w:t>OX</w:t>
      </w:r>
      <w:r>
        <w:t>LEP Board member, alongside the other council leaders across the county. Peter Nolan</w:t>
      </w:r>
      <w:r w:rsidR="008201EC">
        <w:t>, formerly</w:t>
      </w:r>
      <w:r>
        <w:t xml:space="preserve"> of Oxford BioMedica </w:t>
      </w:r>
      <w:r w:rsidR="008201EC">
        <w:t>sits on</w:t>
      </w:r>
      <w:r>
        <w:t xml:space="preserve"> the </w:t>
      </w:r>
      <w:r w:rsidR="00A11E10">
        <w:t>OX</w:t>
      </w:r>
      <w:r>
        <w:t>LEP Board and also chairs the Oxford Economic Growth Board (O</w:t>
      </w:r>
      <w:r w:rsidR="00A11E10">
        <w:t xml:space="preserve">xford </w:t>
      </w:r>
      <w:r>
        <w:t>S</w:t>
      </w:r>
      <w:r w:rsidR="00A11E10">
        <w:t xml:space="preserve">trategic </w:t>
      </w:r>
      <w:r>
        <w:t>P</w:t>
      </w:r>
      <w:r w:rsidR="00A11E10">
        <w:t>artnership</w:t>
      </w:r>
      <w:r>
        <w:t xml:space="preserve"> sub-group), providing a direct link</w:t>
      </w:r>
      <w:r w:rsidR="008201EC">
        <w:t xml:space="preserve"> </w:t>
      </w:r>
      <w:r w:rsidR="008201EC">
        <w:lastRenderedPageBreak/>
        <w:t xml:space="preserve">between the </w:t>
      </w:r>
      <w:r>
        <w:t xml:space="preserve">city’s interests and the wider </w:t>
      </w:r>
      <w:r w:rsidR="00A11E10">
        <w:t>OX</w:t>
      </w:r>
      <w:r>
        <w:t xml:space="preserve">LEP area. Phil Southall, </w:t>
      </w:r>
      <w:r w:rsidR="008201EC">
        <w:t>M</w:t>
      </w:r>
      <w:r w:rsidR="00A11E10">
        <w:t xml:space="preserve">anaging </w:t>
      </w:r>
      <w:r w:rsidR="008201EC">
        <w:t>D</w:t>
      </w:r>
      <w:r w:rsidR="00A11E10">
        <w:t>irector</w:t>
      </w:r>
      <w:r>
        <w:t xml:space="preserve"> of the Oxford Bus Company, and Penny Rinta-Suksi, Partner at Blake Morgan </w:t>
      </w:r>
      <w:r w:rsidR="008201EC">
        <w:t xml:space="preserve">are </w:t>
      </w:r>
      <w:r>
        <w:t>also Oxford based members of the Board covering tran</w:t>
      </w:r>
      <w:r w:rsidR="008201EC">
        <w:t>sport issues and programmes.</w:t>
      </w:r>
    </w:p>
    <w:p w:rsidR="008201EC" w:rsidRDefault="00EB6662" w:rsidP="00220F89">
      <w:pPr>
        <w:pStyle w:val="ListParagraph"/>
        <w:jc w:val="both"/>
      </w:pPr>
      <w:r>
        <w:t xml:space="preserve">City Council Officers </w:t>
      </w:r>
      <w:r w:rsidR="00F05B0D">
        <w:t xml:space="preserve">remain </w:t>
      </w:r>
      <w:r>
        <w:t>involved in a range of OXLEP partnerships</w:t>
      </w:r>
      <w:r w:rsidR="00F05B0D">
        <w:t>,</w:t>
      </w:r>
      <w:r>
        <w:t xml:space="preserve"> and OxLEP colle</w:t>
      </w:r>
      <w:r w:rsidR="00220F89">
        <w:t xml:space="preserve">agues are involved in many city and </w:t>
      </w:r>
      <w:r>
        <w:t xml:space="preserve">district partnerships. There is ongoing officer involvement and engagement with the LEP through various officers and teams including </w:t>
      </w:r>
      <w:r w:rsidR="00A11E10">
        <w:t>Directors</w:t>
      </w:r>
      <w:r>
        <w:t>, Regeneration and E</w:t>
      </w:r>
      <w:r w:rsidR="008201EC">
        <w:t xml:space="preserve">conomy, Planning, </w:t>
      </w:r>
      <w:r>
        <w:t xml:space="preserve">Sustainability, and Welfare Reform. LEP related partnerships that have involved city council officers over the last twelve months include; </w:t>
      </w:r>
    </w:p>
    <w:p w:rsidR="008201EC" w:rsidRDefault="00EB6662" w:rsidP="00220F89">
      <w:pPr>
        <w:pStyle w:val="ListParagraph"/>
        <w:numPr>
          <w:ilvl w:val="1"/>
          <w:numId w:val="14"/>
        </w:numPr>
        <w:jc w:val="both"/>
      </w:pPr>
      <w:r>
        <w:t>The Local Industrial Stra</w:t>
      </w:r>
      <w:r w:rsidR="00803CDF">
        <w:t>tegy Steering Group</w:t>
      </w:r>
    </w:p>
    <w:p w:rsidR="008201EC" w:rsidRDefault="00EB6662" w:rsidP="00220F89">
      <w:pPr>
        <w:pStyle w:val="ListParagraph"/>
        <w:numPr>
          <w:ilvl w:val="1"/>
          <w:numId w:val="14"/>
        </w:numPr>
        <w:jc w:val="both"/>
      </w:pPr>
      <w:r>
        <w:t>Oxfordshire Skills Board</w:t>
      </w:r>
      <w:r w:rsidR="008201EC">
        <w:t xml:space="preserve"> (Skills Advisory Panel)</w:t>
      </w:r>
      <w:r>
        <w:t xml:space="preserve"> </w:t>
      </w:r>
    </w:p>
    <w:p w:rsidR="008201EC" w:rsidRDefault="00EB6662" w:rsidP="00220F89">
      <w:pPr>
        <w:pStyle w:val="ListParagraph"/>
        <w:numPr>
          <w:ilvl w:val="1"/>
          <w:numId w:val="14"/>
        </w:numPr>
        <w:jc w:val="both"/>
      </w:pPr>
      <w:r>
        <w:t>Oxfordshire European Structural Investment</w:t>
      </w:r>
      <w:r w:rsidR="008201EC">
        <w:t xml:space="preserve"> Funds Committee </w:t>
      </w:r>
    </w:p>
    <w:p w:rsidR="008201EC" w:rsidRDefault="00EB6662" w:rsidP="00220F89">
      <w:pPr>
        <w:pStyle w:val="ListParagraph"/>
        <w:numPr>
          <w:ilvl w:val="1"/>
          <w:numId w:val="14"/>
        </w:numPr>
        <w:jc w:val="both"/>
      </w:pPr>
      <w:r>
        <w:t xml:space="preserve">Joint Oxfordshire Business Support Group </w:t>
      </w:r>
    </w:p>
    <w:p w:rsidR="00803CDF" w:rsidRDefault="00803CDF" w:rsidP="00220F89">
      <w:pPr>
        <w:pStyle w:val="ListParagraph"/>
        <w:numPr>
          <w:ilvl w:val="1"/>
          <w:numId w:val="14"/>
        </w:numPr>
        <w:jc w:val="both"/>
      </w:pPr>
      <w:r>
        <w:t>Tourism Zone working group</w:t>
      </w:r>
    </w:p>
    <w:p w:rsidR="008201EC" w:rsidRDefault="008201EC" w:rsidP="00220F89">
      <w:pPr>
        <w:pStyle w:val="ListParagraph"/>
        <w:jc w:val="both"/>
      </w:pPr>
      <w:r>
        <w:t>T</w:t>
      </w:r>
      <w:r w:rsidR="00EB6662">
        <w:t>he LEP is also involved in supp</w:t>
      </w:r>
      <w:r w:rsidR="00220F89">
        <w:t>orting the following partnership and policy areas</w:t>
      </w:r>
      <w:r w:rsidR="00EB6662">
        <w:t xml:space="preserve">; </w:t>
      </w:r>
    </w:p>
    <w:p w:rsidR="008201EC" w:rsidRDefault="008201EC" w:rsidP="00220F89">
      <w:pPr>
        <w:pStyle w:val="ListParagraph"/>
        <w:numPr>
          <w:ilvl w:val="1"/>
          <w:numId w:val="14"/>
        </w:numPr>
        <w:jc w:val="both"/>
      </w:pPr>
      <w:r>
        <w:t xml:space="preserve">The Oxford-Cambridge </w:t>
      </w:r>
      <w:r w:rsidR="00803CDF">
        <w:t xml:space="preserve">Arc. </w:t>
      </w:r>
    </w:p>
    <w:p w:rsidR="00220F89" w:rsidRDefault="00EB6662" w:rsidP="00220F89">
      <w:pPr>
        <w:pStyle w:val="ListParagraph"/>
        <w:numPr>
          <w:ilvl w:val="1"/>
          <w:numId w:val="14"/>
        </w:numPr>
        <w:jc w:val="both"/>
      </w:pPr>
      <w:r>
        <w:t xml:space="preserve">The Oxfordshire Growth Board </w:t>
      </w:r>
    </w:p>
    <w:p w:rsidR="00220F89" w:rsidRDefault="00EB6662" w:rsidP="00220F89">
      <w:pPr>
        <w:pStyle w:val="ListParagraph"/>
        <w:numPr>
          <w:ilvl w:val="1"/>
          <w:numId w:val="14"/>
        </w:numPr>
        <w:jc w:val="both"/>
      </w:pPr>
      <w:r>
        <w:t>The Oxford Strategic</w:t>
      </w:r>
      <w:r w:rsidR="00220F89">
        <w:t xml:space="preserve"> Partnership </w:t>
      </w:r>
    </w:p>
    <w:p w:rsidR="008201EC" w:rsidRDefault="00EB6662" w:rsidP="00220F89">
      <w:pPr>
        <w:pStyle w:val="ListParagraph"/>
        <w:numPr>
          <w:ilvl w:val="1"/>
          <w:numId w:val="14"/>
        </w:numPr>
        <w:jc w:val="both"/>
      </w:pPr>
      <w:r>
        <w:t xml:space="preserve">The </w:t>
      </w:r>
      <w:r w:rsidR="008201EC">
        <w:t>Oxford Economic Growth Board</w:t>
      </w:r>
      <w:bookmarkStart w:id="0" w:name="_GoBack"/>
      <w:bookmarkEnd w:id="0"/>
    </w:p>
    <w:p w:rsidR="00EB6662" w:rsidRDefault="00EB6662" w:rsidP="00220F89">
      <w:pPr>
        <w:pStyle w:val="ListParagraph"/>
        <w:jc w:val="both"/>
      </w:pPr>
      <w:r>
        <w:t xml:space="preserve">The LEP’s </w:t>
      </w:r>
      <w:r w:rsidR="00803CDF">
        <w:t>Governance Structure and main strategic groupings are highlighted below</w:t>
      </w:r>
      <w:r w:rsidR="00D82D6A">
        <w:t>:</w:t>
      </w:r>
    </w:p>
    <w:p w:rsidR="00803CDF" w:rsidRPr="001356F1" w:rsidRDefault="00803CDF" w:rsidP="00220F89">
      <w:pPr>
        <w:pStyle w:val="ListParagraph"/>
        <w:numPr>
          <w:ilvl w:val="0"/>
          <w:numId w:val="0"/>
        </w:numPr>
        <w:ind w:left="426"/>
        <w:jc w:val="both"/>
      </w:pPr>
      <w:r w:rsidRPr="00803CDF">
        <w:rPr>
          <w:noProof/>
        </w:rPr>
        <w:drawing>
          <wp:inline distT="0" distB="0" distL="0" distR="0" wp14:anchorId="1B6BFFD4" wp14:editId="1F4B8223">
            <wp:extent cx="5690382" cy="3910330"/>
            <wp:effectExtent l="0" t="0" r="5715" b="0"/>
            <wp:docPr id="2" name="Picture 2" descr="Diagram showing the governance structure.&#10;Executive Board&#10;Finance and Audit Committee and Personnel and nominations Committee&#10;8 sub groups covering different aspects of the work." title="OXLEP governan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2084" cy="3945859"/>
                    </a:xfrm>
                    <a:prstGeom prst="rect">
                      <a:avLst/>
                    </a:prstGeom>
                  </pic:spPr>
                </pic:pic>
              </a:graphicData>
            </a:graphic>
          </wp:inline>
        </w:drawing>
      </w:r>
    </w:p>
    <w:p w:rsidR="00D82D6A" w:rsidRDefault="00D82D6A" w:rsidP="00220F89">
      <w:pPr>
        <w:pStyle w:val="Heading1"/>
        <w:jc w:val="both"/>
      </w:pPr>
    </w:p>
    <w:p w:rsidR="00633578" w:rsidRPr="001356F1" w:rsidRDefault="00D82D6A" w:rsidP="00220F89">
      <w:pPr>
        <w:pStyle w:val="Heading1"/>
        <w:jc w:val="both"/>
      </w:pPr>
      <w:r>
        <w:t>OxLEP Partnership Highlights</w:t>
      </w:r>
      <w:r w:rsidR="008201EC">
        <w:t xml:space="preserve"> 2019-2020</w:t>
      </w:r>
    </w:p>
    <w:p w:rsidR="00220F89" w:rsidRDefault="00220F89" w:rsidP="00220F89">
      <w:pPr>
        <w:pStyle w:val="bParagraphtext"/>
        <w:jc w:val="both"/>
      </w:pPr>
      <w:r>
        <w:t>The Oxfordshire Industrial Strategy</w:t>
      </w:r>
      <w:r w:rsidR="00A11E10">
        <w:t xml:space="preserve"> (LIS)</w:t>
      </w:r>
      <w:r>
        <w:t xml:space="preserve"> was published in July 2019.</w:t>
      </w:r>
      <w:r w:rsidRPr="00E460EE">
        <w:rPr>
          <w:rFonts w:cs="Arial"/>
          <w:color w:val="444848"/>
          <w:shd w:val="clear" w:color="auto" w:fill="FFFFFF"/>
        </w:rPr>
        <w:t xml:space="preserve"> </w:t>
      </w:r>
      <w:r>
        <w:rPr>
          <w:rFonts w:cs="Arial"/>
          <w:color w:val="444848"/>
          <w:shd w:val="clear" w:color="auto" w:fill="FFFFFF"/>
        </w:rPr>
        <w:t xml:space="preserve">The </w:t>
      </w:r>
      <w:r w:rsidRPr="00E460EE">
        <w:t>ambition for the Oxfordshire Local Industrial Strategy is to position the county as one of the top-three global innovat</w:t>
      </w:r>
      <w:r>
        <w:t>ion ecosystems, highlighting the</w:t>
      </w:r>
      <w:r w:rsidRPr="00E460EE">
        <w:t xml:space="preserve"> world-leading science and technology cluster and to be a pioneer for the UK and our emerging transformative technologies and sectors.</w:t>
      </w:r>
      <w:r>
        <w:t xml:space="preserve"> It also contains a commitment to Inclusive, low carbon growth. The partners are now working on the Delivery Strategy and Investment Prospectus for the key projects and initiatives in the strategy. Key among these involving council officers are proposals around </w:t>
      </w:r>
    </w:p>
    <w:p w:rsidR="00220F89" w:rsidRDefault="00220F89" w:rsidP="00220F89">
      <w:pPr>
        <w:pStyle w:val="bParagraphtext"/>
        <w:numPr>
          <w:ilvl w:val="1"/>
          <w:numId w:val="14"/>
        </w:numPr>
        <w:jc w:val="both"/>
      </w:pPr>
      <w:r>
        <w:t xml:space="preserve">The West End Innovation Quarter </w:t>
      </w:r>
    </w:p>
    <w:p w:rsidR="00220F89" w:rsidRDefault="00220F89" w:rsidP="00220F89">
      <w:pPr>
        <w:pStyle w:val="bParagraphtext"/>
        <w:numPr>
          <w:ilvl w:val="1"/>
          <w:numId w:val="14"/>
        </w:numPr>
        <w:jc w:val="both"/>
      </w:pPr>
      <w:r>
        <w:t>The Inclusive Economy Commission</w:t>
      </w:r>
    </w:p>
    <w:p w:rsidR="00220F89" w:rsidRDefault="00220F89" w:rsidP="00220F89">
      <w:pPr>
        <w:pStyle w:val="bParagraphtext"/>
        <w:numPr>
          <w:ilvl w:val="1"/>
          <w:numId w:val="14"/>
        </w:numPr>
        <w:jc w:val="both"/>
      </w:pPr>
      <w:r>
        <w:t>Developing a business case to test the need for an Oxford Creative Industries Hub</w:t>
      </w:r>
    </w:p>
    <w:p w:rsidR="00220F89" w:rsidRDefault="00220F89" w:rsidP="00220F89">
      <w:pPr>
        <w:pStyle w:val="bParagraphtext"/>
        <w:numPr>
          <w:ilvl w:val="1"/>
          <w:numId w:val="14"/>
        </w:numPr>
        <w:jc w:val="both"/>
      </w:pPr>
      <w:r>
        <w:t>Oxford Science Park expansion and Cowley Branch Line</w:t>
      </w:r>
    </w:p>
    <w:p w:rsidR="00220F89" w:rsidRPr="001356F1" w:rsidRDefault="00220F89" w:rsidP="00220F89">
      <w:pPr>
        <w:pStyle w:val="bParagraphtext"/>
        <w:numPr>
          <w:ilvl w:val="1"/>
          <w:numId w:val="14"/>
        </w:numPr>
        <w:jc w:val="both"/>
      </w:pPr>
      <w:r>
        <w:t>Defining Oxfordshire Living Lab proposals on energy, mobility and health, with a range of county-wide partners</w:t>
      </w:r>
    </w:p>
    <w:p w:rsidR="00E87F7A" w:rsidRPr="001356F1" w:rsidRDefault="00D02544" w:rsidP="00220F89">
      <w:pPr>
        <w:pStyle w:val="bParagraphtext"/>
        <w:jc w:val="both"/>
        <w:rPr>
          <w:rStyle w:val="ListParagraphChar"/>
        </w:rPr>
      </w:pPr>
      <w:r>
        <w:t>Working with officers, OXLEP has identified an additional £5m (now £10m) and aligned this with the indicative programme for</w:t>
      </w:r>
      <w:r w:rsidR="00EE4946">
        <w:t xml:space="preserve"> delivery of the West Side Impro</w:t>
      </w:r>
      <w:r>
        <w:t>v</w:t>
      </w:r>
      <w:r w:rsidR="00EE4946">
        <w:t>emen</w:t>
      </w:r>
      <w:r>
        <w:t>t at Oxford Station, including the Botley Bridge repl</w:t>
      </w:r>
      <w:r w:rsidR="00D82D6A">
        <w:t>acement. This will support the R</w:t>
      </w:r>
      <w:r w:rsidR="00A11E10">
        <w:t>£145-65m bid by Network R</w:t>
      </w:r>
      <w:r>
        <w:t>ail to D</w:t>
      </w:r>
      <w:r w:rsidR="00A11E10">
        <w:t xml:space="preserve">ept. for </w:t>
      </w:r>
      <w:r>
        <w:t>T</w:t>
      </w:r>
      <w:r w:rsidR="00A11E10">
        <w:t>ransport</w:t>
      </w:r>
      <w:r>
        <w:t xml:space="preserve"> to deliver the scheme</w:t>
      </w:r>
      <w:r w:rsidR="00D82D6A">
        <w:t>.</w:t>
      </w:r>
      <w:r w:rsidR="00220F89">
        <w:t xml:space="preserve"> The LEP have been active in supporting partnership efforts to bring forward Oxford Station and other vital infrastructure to enable developments in Oxford’s West End.</w:t>
      </w:r>
    </w:p>
    <w:p w:rsidR="00E87F7A" w:rsidRDefault="00220F89" w:rsidP="00220F89">
      <w:pPr>
        <w:pStyle w:val="bParagraphtext"/>
        <w:jc w:val="both"/>
      </w:pPr>
      <w:r>
        <w:t>Very recently</w:t>
      </w:r>
      <w:r w:rsidR="00D02544">
        <w:t xml:space="preserve">, OxLEP has also </w:t>
      </w:r>
      <w:r w:rsidR="000F600C">
        <w:t>awarded £1.93m</w:t>
      </w:r>
      <w:r w:rsidR="00D82D6A">
        <w:t xml:space="preserve"> to the City Council</w:t>
      </w:r>
      <w:r>
        <w:t xml:space="preserve"> for the creation of e</w:t>
      </w:r>
      <w:r w:rsidR="000F600C">
        <w:t xml:space="preserve">ntrepreneurship and enterprise workspaces in Oxford City centre. A portfolio </w:t>
      </w:r>
      <w:r w:rsidR="00D82D6A">
        <w:t>of spaces is being reviewed by o</w:t>
      </w:r>
      <w:r w:rsidR="000F600C">
        <w:t xml:space="preserve">fficers as part of a Workspace Assessment and Feasibility exercise. This </w:t>
      </w:r>
      <w:r w:rsidR="00D82D6A">
        <w:t>could</w:t>
      </w:r>
      <w:r w:rsidR="000F600C">
        <w:t xml:space="preserve"> create around 10,000 sq</w:t>
      </w:r>
      <w:r w:rsidR="00EE4946">
        <w:t>.</w:t>
      </w:r>
      <w:r w:rsidR="000F600C">
        <w:t xml:space="preserve"> ft</w:t>
      </w:r>
      <w:r w:rsidR="00EE4946">
        <w:t>.</w:t>
      </w:r>
      <w:r w:rsidR="000F600C">
        <w:t xml:space="preserve"> of new space and support 160 local jobs</w:t>
      </w:r>
      <w:r w:rsidR="00D82D6A">
        <w:t xml:space="preserve"> in the city centre</w:t>
      </w:r>
      <w:r w:rsidR="000F600C">
        <w:t xml:space="preserve">. </w:t>
      </w:r>
    </w:p>
    <w:p w:rsidR="00E87F7A" w:rsidRPr="001356F1" w:rsidRDefault="00D82D6A" w:rsidP="00220F89">
      <w:pPr>
        <w:pStyle w:val="bParagraphtext"/>
        <w:jc w:val="both"/>
      </w:pPr>
      <w:r>
        <w:t xml:space="preserve">The Oxfordshire </w:t>
      </w:r>
      <w:r w:rsidR="000F600C">
        <w:t>Inclusive Economy Seminar Series</w:t>
      </w:r>
      <w:r w:rsidR="00220F89">
        <w:t xml:space="preserve"> has bought a range of delegates together on</w:t>
      </w:r>
      <w:r w:rsidRPr="00D82D6A">
        <w:t xml:space="preserve"> research, policy and data on economic and social inequality to define the real scale of the challenge </w:t>
      </w:r>
      <w:r>
        <w:t>and highlight</w:t>
      </w:r>
      <w:r w:rsidRPr="00D82D6A">
        <w:t xml:space="preserve"> potential interventions to be developed through the seminar series and beyond</w:t>
      </w:r>
      <w:r>
        <w:t xml:space="preserve">. </w:t>
      </w:r>
      <w:r w:rsidR="001E6168">
        <w:t>Whilst the O</w:t>
      </w:r>
      <w:r w:rsidR="00A11E10">
        <w:t xml:space="preserve">xford </w:t>
      </w:r>
      <w:r w:rsidR="001E6168">
        <w:t>S</w:t>
      </w:r>
      <w:r w:rsidR="00A11E10">
        <w:t xml:space="preserve">trategic </w:t>
      </w:r>
      <w:r w:rsidR="001E6168">
        <w:t>P</w:t>
      </w:r>
      <w:r w:rsidR="00A11E10">
        <w:t>artnership</w:t>
      </w:r>
      <w:r w:rsidR="001E6168">
        <w:t xml:space="preserve"> and C</w:t>
      </w:r>
      <w:r w:rsidR="00220F89">
        <w:t xml:space="preserve">ity Council have led this work, </w:t>
      </w:r>
      <w:r w:rsidR="000F600C">
        <w:t xml:space="preserve">OxLEP has worked closely </w:t>
      </w:r>
      <w:r w:rsidR="001E6168">
        <w:t>alongside to devise</w:t>
      </w:r>
      <w:r w:rsidR="000F600C">
        <w:t xml:space="preserve"> this seminar series</w:t>
      </w:r>
      <w:r w:rsidR="009305B8">
        <w:t>,</w:t>
      </w:r>
      <w:r w:rsidR="000F600C">
        <w:t xml:space="preserve"> and will continue to on the formation and resourcing of the Inclusive Economy Commission. </w:t>
      </w:r>
      <w:r>
        <w:t>Officers are also working with the Chair of the LEP, Director of Strategy</w:t>
      </w:r>
      <w:r w:rsidR="009305B8">
        <w:t xml:space="preserve">, </w:t>
      </w:r>
      <w:r>
        <w:t>and Skills team and short and longer te</w:t>
      </w:r>
      <w:r w:rsidR="001E6168">
        <w:t>rm interventions to follow.</w:t>
      </w:r>
    </w:p>
    <w:p w:rsidR="00D02544" w:rsidRDefault="008201EC" w:rsidP="00220F89">
      <w:pPr>
        <w:pStyle w:val="bParagraphtext"/>
        <w:jc w:val="both"/>
      </w:pPr>
      <w:r w:rsidRPr="008201EC">
        <w:t>European Structural and Investment Funds</w:t>
      </w:r>
      <w:r w:rsidR="00A11E10">
        <w:t xml:space="preserve"> (ESIF)</w:t>
      </w:r>
      <w:r w:rsidRPr="008201EC">
        <w:t xml:space="preserve">: OxLEP </w:t>
      </w:r>
      <w:r w:rsidR="00D82D6A">
        <w:t>has been</w:t>
      </w:r>
      <w:r w:rsidRPr="008201EC">
        <w:t xml:space="preserve"> administering this </w:t>
      </w:r>
      <w:r w:rsidR="00A11E10">
        <w:t>€19.3m programme from 2014-2020</w:t>
      </w:r>
      <w:r w:rsidRPr="008201EC">
        <w:t>. Launched in 2018, Innovation Support for Business</w:t>
      </w:r>
      <w:r w:rsidR="005D20B3">
        <w:t xml:space="preserve"> (ISfB)</w:t>
      </w:r>
      <w:r w:rsidRPr="008201EC">
        <w:t xml:space="preserve"> is a £5.2m programme run in Oxfordshire by OxLEP Business to support eligible start-ups as well as small and medium enterprises (SMEs). Finance for the programme has been provided by the European Regional Development Fund (ERDF) with match funding from our local partners. It </w:t>
      </w:r>
      <w:r w:rsidR="001E6168">
        <w:t>has enabled</w:t>
      </w:r>
      <w:r w:rsidRPr="008201EC">
        <w:t xml:space="preserve"> improved access to experts and collaborate with research institutes to commercialise new ideas and introduce new innovations to businesses. OxLEP is delivering the ISfB programme with partners from the University of Oxford, Cherwell District Council, Oxford City </w:t>
      </w:r>
      <w:r w:rsidRPr="008201EC">
        <w:lastRenderedPageBreak/>
        <w:t>Council, and Oxford University Hos</w:t>
      </w:r>
      <w:r w:rsidR="00D02544">
        <w:t xml:space="preserve">pitals NHS Foundation Trust. </w:t>
      </w:r>
      <w:r w:rsidR="00D82D6A">
        <w:t>It will finish in September 2020</w:t>
      </w:r>
      <w:r w:rsidR="001E6168">
        <w:t>.</w:t>
      </w:r>
    </w:p>
    <w:p w:rsidR="00E87F7A" w:rsidRDefault="008201EC" w:rsidP="00220F89">
      <w:pPr>
        <w:pStyle w:val="bParagraphtext"/>
        <w:jc w:val="both"/>
      </w:pPr>
      <w:r w:rsidRPr="008201EC">
        <w:t>Existing programmes involving Oxford City Council include the £3.2m ‘OxFutures’ Low Carbon Economy Programme, £586K community grant European Social Funds to boost employability skills and Building Better Opportunities (£734K) in conjunction with Lottery Funds focussing on supporting those not in training education or employment (NEETs). The LEP played a role in securing these through its ESIF strategy and administering the ESIF process at a local level alongside central government.</w:t>
      </w:r>
      <w:r w:rsidR="00E460EE">
        <w:t xml:space="preserve"> These programmes are all set to finish in the coming months.</w:t>
      </w:r>
    </w:p>
    <w:p w:rsidR="00D02544" w:rsidRDefault="00D02544" w:rsidP="00220F89">
      <w:pPr>
        <w:pStyle w:val="bParagraphtext"/>
        <w:jc w:val="both"/>
      </w:pPr>
      <w:r>
        <w:t xml:space="preserve">It should be noted that this funding source will cease completely, as a) the programme form 2014-20 ends, and b) The UK leaves the EU. There is a vital requirement to look at resourcing of </w:t>
      </w:r>
      <w:r w:rsidR="00E460EE">
        <w:t xml:space="preserve">business support and skills/employability </w:t>
      </w:r>
      <w:r>
        <w:t xml:space="preserve">programmes in future. </w:t>
      </w:r>
      <w:r w:rsidRPr="00D02544">
        <w:t xml:space="preserve">The </w:t>
      </w:r>
      <w:r>
        <w:t>United Kingdom Shared Prosperity Fund is the key fund intended to</w:t>
      </w:r>
      <w:r w:rsidRPr="00D02544">
        <w:t xml:space="preserve"> replace Structural Funds with a UK funding system. This UK Shared Prosperity Fund is intended to reduce inequality between communities across the four nations and to deliver sustainable, inclusive growth.</w:t>
      </w:r>
      <w:r>
        <w:t xml:space="preserve"> </w:t>
      </w:r>
      <w:r w:rsidRPr="00D02544">
        <w:t xml:space="preserve">£500 million </w:t>
      </w:r>
      <w:r>
        <w:t>was highlighted in the current Government’s Election Manifesto. Depending on how this is distributed across the UK, there may need to be novel local approaches to resourcing the type of business and skills support typically provided through Structural Funds.</w:t>
      </w:r>
    </w:p>
    <w:p w:rsidR="00FF650E" w:rsidRDefault="00FF650E" w:rsidP="00220F89">
      <w:pPr>
        <w:pStyle w:val="bParagraphtext"/>
        <w:jc w:val="both"/>
      </w:pPr>
      <w:r>
        <w:t>Business Support (Growth Hub): f</w:t>
      </w:r>
      <w:r w:rsidRPr="00FF650E">
        <w:t>rom a Local Enterp</w:t>
      </w:r>
      <w:r>
        <w:t xml:space="preserve">rise Partnership point of view, </w:t>
      </w:r>
      <w:r w:rsidRPr="00FF650E">
        <w:t>the £10m investment</w:t>
      </w:r>
      <w:r w:rsidR="001E6168">
        <w:t xml:space="preserve"> announced in March 2020 Budget,</w:t>
      </w:r>
      <w:r w:rsidRPr="00FF650E">
        <w:t xml:space="preserve"> into England’s growth hubs </w:t>
      </w:r>
      <w:r>
        <w:t>announced offers some encouragement, allowing continuation of</w:t>
      </w:r>
      <w:r w:rsidRPr="00FF650E">
        <w:t xml:space="preserve"> core business advice, resilience and guidance in </w:t>
      </w:r>
      <w:r>
        <w:t>uncertain</w:t>
      </w:r>
      <w:r w:rsidR="001E6168">
        <w:t xml:space="preserve"> times for</w:t>
      </w:r>
      <w:r w:rsidRPr="00FF650E">
        <w:t xml:space="preserve"> small business communities.</w:t>
      </w:r>
    </w:p>
    <w:p w:rsidR="00E460EE" w:rsidRDefault="00E460EE" w:rsidP="00220F89">
      <w:pPr>
        <w:pStyle w:val="bParagraphtext"/>
        <w:jc w:val="both"/>
      </w:pPr>
      <w:r>
        <w:t>Skills Board and programmes: Some of the key activity overseen by the Oxfordshire Skills Board includes;</w:t>
      </w:r>
    </w:p>
    <w:p w:rsidR="00FF650E" w:rsidRDefault="00E460EE" w:rsidP="00220F89">
      <w:pPr>
        <w:pStyle w:val="bParagraphtext"/>
        <w:numPr>
          <w:ilvl w:val="1"/>
          <w:numId w:val="14"/>
        </w:numPr>
        <w:jc w:val="both"/>
      </w:pPr>
      <w:r w:rsidRPr="00E460EE">
        <w:t xml:space="preserve">Oxfordshire Careers Hub </w:t>
      </w:r>
      <w:r w:rsidR="001E6168">
        <w:t>Ox</w:t>
      </w:r>
      <w:r w:rsidRPr="00E460EE">
        <w:t>LEP is a Careers Hub as part of the Careers and Enterprise Company)</w:t>
      </w:r>
      <w:r>
        <w:t xml:space="preserve">. 24 from 40 schools are part of the careers hubs and the aim is to increase the quality and depth of careers education across the eight </w:t>
      </w:r>
      <w:hyperlink r:id="rId12" w:history="1">
        <w:r w:rsidRPr="00E460EE">
          <w:rPr>
            <w:rStyle w:val="Hyperlink"/>
          </w:rPr>
          <w:t>Gatsby benchmarks</w:t>
        </w:r>
      </w:hyperlink>
      <w:r>
        <w:t>. There are demonstrable improvements on these benchmarks county-wide</w:t>
      </w:r>
      <w:r w:rsidR="001E6168">
        <w:t>,</w:t>
      </w:r>
      <w:r>
        <w:t xml:space="preserve"> but long term concerns over resource and funding. It looks likely government support will continue but the level of support is uncertain and this will shape the level of impact in this important area to shape school leaver career choices</w:t>
      </w:r>
      <w:r w:rsidR="001E6168">
        <w:t>.</w:t>
      </w:r>
    </w:p>
    <w:p w:rsidR="00E460EE" w:rsidRDefault="00E460EE" w:rsidP="00220F89">
      <w:pPr>
        <w:pStyle w:val="bParagraphtext"/>
        <w:numPr>
          <w:ilvl w:val="1"/>
          <w:numId w:val="14"/>
        </w:numPr>
        <w:jc w:val="both"/>
      </w:pPr>
      <w:r w:rsidRPr="00E460EE">
        <w:t>LIS</w:t>
      </w:r>
      <w:r>
        <w:t xml:space="preserve"> related</w:t>
      </w:r>
      <w:r w:rsidR="001E6168">
        <w:t xml:space="preserve"> Skills p</w:t>
      </w:r>
      <w:r w:rsidRPr="00E460EE">
        <w:t>rojects</w:t>
      </w:r>
      <w:r w:rsidRPr="00FF650E">
        <w:rPr>
          <w:color w:val="1F497D"/>
        </w:rPr>
        <w:t xml:space="preserve"> </w:t>
      </w:r>
      <w:r w:rsidRPr="00E460EE">
        <w:t>being worked up</w:t>
      </w:r>
      <w:r>
        <w:t xml:space="preserve"> include a bid of </w:t>
      </w:r>
      <w:r w:rsidR="00FF650E">
        <w:t xml:space="preserve">£18m over 5 years to include </w:t>
      </w:r>
      <w:r>
        <w:t>all 53 schools and 3 colleges in th</w:t>
      </w:r>
      <w:r w:rsidR="00FF650E">
        <w:t>e hub focussing on improving</w:t>
      </w:r>
      <w:r>
        <w:t xml:space="preserve"> careers advice</w:t>
      </w:r>
      <w:r w:rsidR="00FF650E">
        <w:t xml:space="preserve"> further, requesting new </w:t>
      </w:r>
      <w:r>
        <w:t xml:space="preserve">resource ring-fenced </w:t>
      </w:r>
      <w:r w:rsidR="00FF650E">
        <w:t>for career leader time. A £3.5m</w:t>
      </w:r>
      <w:r>
        <w:t xml:space="preserve"> Apprenticeships and T-Levels</w:t>
      </w:r>
      <w:r w:rsidR="00A11E10">
        <w:t xml:space="preserve"> (Technical Levels)</w:t>
      </w:r>
      <w:r w:rsidR="00FF650E">
        <w:t xml:space="preserve"> promotion programme for s</w:t>
      </w:r>
      <w:r>
        <w:t>taff t</w:t>
      </w:r>
      <w:r w:rsidR="00FF650E">
        <w:t xml:space="preserve">o link providers and employers, </w:t>
      </w:r>
      <w:r>
        <w:t xml:space="preserve">unlocking </w:t>
      </w:r>
      <w:r w:rsidR="00FF650E">
        <w:t xml:space="preserve">more apprenticeship </w:t>
      </w:r>
      <w:r>
        <w:t>levy funds</w:t>
      </w:r>
      <w:r w:rsidR="00FF650E">
        <w:t>. Officers will support these efforts where possible.</w:t>
      </w:r>
    </w:p>
    <w:p w:rsidR="001E6168" w:rsidRDefault="001E6168" w:rsidP="00220F89">
      <w:pPr>
        <w:pStyle w:val="bParagraphtext"/>
        <w:numPr>
          <w:ilvl w:val="1"/>
          <w:numId w:val="14"/>
        </w:numPr>
        <w:jc w:val="both"/>
      </w:pPr>
      <w:r>
        <w:t>The LEP’s 4</w:t>
      </w:r>
      <w:r w:rsidRPr="001E6168">
        <w:rPr>
          <w:vertAlign w:val="superscript"/>
        </w:rPr>
        <w:t>th</w:t>
      </w:r>
      <w:r w:rsidR="009305B8">
        <w:t xml:space="preserve"> Apprenticeship Awards, a</w:t>
      </w:r>
      <w:r>
        <w:t xml:space="preserve"> growing flagship event, aimed to promote quality apprenticeships among business, was recently postponed due to COVID-19. Officers will work to support the LEP with the event when it is rearranged. </w:t>
      </w:r>
    </w:p>
    <w:p w:rsidR="007C7229" w:rsidRDefault="007C7229" w:rsidP="007C7229">
      <w:pPr>
        <w:pStyle w:val="ListParagraph"/>
      </w:pPr>
      <w:r>
        <w:t xml:space="preserve">Linked to above, </w:t>
      </w:r>
      <w:r w:rsidR="00A11E10">
        <w:t>officers</w:t>
      </w:r>
      <w:r>
        <w:t xml:space="preserve"> are working closely with the LEP on all business support issues related to the impact of COVID-19. This will cover communication to business on all available support, intelligence gathering on impact, and engagement with banks and businesses on further support needs. An OxLEP webinar for business on COVID-19 is planned for early April. </w:t>
      </w:r>
    </w:p>
    <w:p w:rsidR="0040736F" w:rsidRPr="001356F1" w:rsidRDefault="002329CF" w:rsidP="00220F89">
      <w:pPr>
        <w:pStyle w:val="Heading1"/>
        <w:jc w:val="both"/>
      </w:pPr>
      <w:r w:rsidRPr="001356F1">
        <w:lastRenderedPageBreak/>
        <w:t>Financial implications</w:t>
      </w:r>
    </w:p>
    <w:p w:rsidR="00E87F7A" w:rsidRPr="001356F1" w:rsidRDefault="007C7229" w:rsidP="00220F89">
      <w:pPr>
        <w:pStyle w:val="ListParagraph"/>
        <w:jc w:val="both"/>
      </w:pPr>
      <w:r w:rsidRPr="007C7229">
        <w:rPr>
          <w:rFonts w:cs="Arial"/>
        </w:rPr>
        <w:t xml:space="preserve">There are no </w:t>
      </w:r>
      <w:r>
        <w:rPr>
          <w:rFonts w:cs="Arial"/>
        </w:rPr>
        <w:t>financial</w:t>
      </w:r>
      <w:r w:rsidRPr="007C7229">
        <w:rPr>
          <w:rFonts w:cs="Arial"/>
        </w:rPr>
        <w:t xml:space="preserve"> implications arising from this report</w:t>
      </w:r>
      <w:r w:rsidR="00220F89">
        <w:t>.</w:t>
      </w:r>
    </w:p>
    <w:p w:rsidR="0040736F" w:rsidRPr="001356F1" w:rsidRDefault="00DA614B" w:rsidP="00220F89">
      <w:pPr>
        <w:pStyle w:val="Heading1"/>
        <w:jc w:val="both"/>
      </w:pPr>
      <w:r w:rsidRPr="001356F1">
        <w:t>Legal issues</w:t>
      </w:r>
    </w:p>
    <w:p w:rsidR="00E87F7A" w:rsidRPr="001356F1" w:rsidRDefault="007C7229" w:rsidP="00220F89">
      <w:pPr>
        <w:pStyle w:val="ListParagraph"/>
        <w:jc w:val="both"/>
      </w:pPr>
      <w:r w:rsidRPr="007C7229">
        <w:rPr>
          <w:rFonts w:cs="Arial"/>
        </w:rPr>
        <w:t>There are no legal implications arising from this report</w:t>
      </w:r>
      <w:r w:rsidR="00220F89">
        <w:t>.</w:t>
      </w:r>
    </w:p>
    <w:p w:rsidR="002329CF" w:rsidRPr="001356F1" w:rsidRDefault="002329CF" w:rsidP="00220F89">
      <w:pPr>
        <w:pStyle w:val="Heading1"/>
        <w:jc w:val="both"/>
      </w:pPr>
      <w:r w:rsidRPr="001356F1">
        <w:t>Level of risk</w:t>
      </w:r>
    </w:p>
    <w:p w:rsidR="00BC69A4" w:rsidRPr="001356F1" w:rsidRDefault="00F26428" w:rsidP="00220F89">
      <w:pPr>
        <w:pStyle w:val="ListParagraph"/>
        <w:jc w:val="both"/>
      </w:pPr>
      <w:r>
        <w:t>N/A</w:t>
      </w:r>
    </w:p>
    <w:p w:rsidR="002329CF" w:rsidRPr="001356F1" w:rsidRDefault="002329CF" w:rsidP="00220F89">
      <w:pPr>
        <w:pStyle w:val="Heading1"/>
        <w:jc w:val="both"/>
      </w:pPr>
      <w:r w:rsidRPr="001356F1">
        <w:t xml:space="preserve">Equalities impact </w:t>
      </w:r>
    </w:p>
    <w:p w:rsidR="002329CF" w:rsidRPr="001356F1" w:rsidRDefault="00FF650E" w:rsidP="00220F89">
      <w:pPr>
        <w:pStyle w:val="ListParagraph"/>
        <w:jc w:val="both"/>
      </w:pPr>
      <w:r>
        <w:t>N/A</w:t>
      </w:r>
    </w:p>
    <w:p w:rsidR="00E87F7A" w:rsidRPr="001356F1" w:rsidRDefault="00E87F7A" w:rsidP="00220F89">
      <w:pPr>
        <w:pStyle w:val="Heading1"/>
        <w:jc w:val="both"/>
      </w:pPr>
      <w:r w:rsidRPr="001356F1">
        <w:t>Conclusion</w:t>
      </w:r>
    </w:p>
    <w:p w:rsidR="00E206D6" w:rsidRPr="001356F1" w:rsidRDefault="00FF650E" w:rsidP="00220F89">
      <w:pPr>
        <w:pStyle w:val="ListParagraph"/>
        <w:jc w:val="both"/>
      </w:pPr>
      <w:r>
        <w:t>In general, Oxford City Council has a</w:t>
      </w:r>
      <w:r w:rsidR="001E6168">
        <w:t xml:space="preserve"> very</w:t>
      </w:r>
      <w:r>
        <w:t xml:space="preserve"> positive partnership relationship with OxLEP’s key staff, teams and Boards. This is directly supporting local business, shaping policy and earmarking funds for key initiatives</w:t>
      </w:r>
      <w:r w:rsidR="001E6168">
        <w:t xml:space="preserve"> in Oxford</w:t>
      </w:r>
      <w:r>
        <w:t xml:space="preserve">. </w:t>
      </w:r>
      <w:r w:rsidR="001E6168">
        <w:t xml:space="preserve">Some of the </w:t>
      </w:r>
      <w:r w:rsidR="009305B8">
        <w:t>main</w:t>
      </w:r>
      <w:r w:rsidR="001E6168">
        <w:t xml:space="preserve"> highlights</w:t>
      </w:r>
      <w:r w:rsidR="00F05B0D">
        <w:t xml:space="preserve"> </w:t>
      </w:r>
      <w:r w:rsidR="00D73B80">
        <w:t xml:space="preserve">and </w:t>
      </w:r>
      <w:r w:rsidR="009305B8">
        <w:t xml:space="preserve">wider </w:t>
      </w:r>
      <w:r w:rsidR="00D73B80">
        <w:t>statistic</w:t>
      </w:r>
      <w:r w:rsidR="00F05B0D">
        <w:t>s</w:t>
      </w:r>
      <w:r w:rsidR="00D73B80">
        <w:t xml:space="preserve"> on county-wide impact </w:t>
      </w:r>
      <w:r w:rsidR="001E6168">
        <w:t>can be found in OxLEP’s m</w:t>
      </w:r>
      <w:r w:rsidR="00F05B0D">
        <w:t xml:space="preserve">ost recent annual report (linked </w:t>
      </w:r>
      <w:r w:rsidR="001E6168">
        <w:t>below</w:t>
      </w:r>
      <w:r w:rsidR="00F05B0D">
        <w:t>), and Factsheet, attached as a background paper</w:t>
      </w:r>
      <w:r w:rsidR="001E6168">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F650E" w:rsidP="00A46E98">
            <w:r>
              <w:t>Matt Peachey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F650E" w:rsidP="00A46E98">
            <w:r>
              <w:t>Economic Development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F650E" w:rsidP="00A46E98">
            <w:r>
              <w:t>Economic Development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FF650E">
            <w:r w:rsidRPr="001356F1">
              <w:t xml:space="preserve">01865 </w:t>
            </w:r>
            <w:r w:rsidR="00FF650E">
              <w:t>252021</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F650E" w:rsidP="00A46E98">
            <w:pPr>
              <w:rPr>
                <w:rStyle w:val="Hyperlink"/>
                <w:color w:val="000000"/>
              </w:rPr>
            </w:pPr>
            <w:r>
              <w:rPr>
                <w:rStyle w:val="Hyperlink"/>
                <w:color w:val="000000"/>
              </w:rPr>
              <w:t>mpeachey@oxford.gov.uk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F05B0D">
        <w:tc>
          <w:tcPr>
            <w:tcW w:w="567" w:type="dxa"/>
            <w:tcBorders>
              <w:top w:val="single" w:sz="8" w:space="0" w:color="000000"/>
              <w:left w:val="single" w:sz="8" w:space="0" w:color="000000"/>
              <w:bottom w:val="single" w:sz="8" w:space="0" w:color="000000"/>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8" w:space="0" w:color="000000"/>
              <w:right w:val="single" w:sz="8" w:space="0" w:color="000000"/>
            </w:tcBorders>
          </w:tcPr>
          <w:p w:rsidR="0093067A" w:rsidRPr="001356F1" w:rsidRDefault="00DE760E" w:rsidP="005D0621">
            <w:hyperlink r:id="rId13" w:history="1">
              <w:r w:rsidR="001E6168" w:rsidRPr="001E6168">
                <w:rPr>
                  <w:rStyle w:val="Hyperlink"/>
                </w:rPr>
                <w:t>OxLEP Annual Report</w:t>
              </w:r>
            </w:hyperlink>
            <w:r w:rsidR="001E6168">
              <w:t xml:space="preserve"> – Published April 2019</w:t>
            </w:r>
          </w:p>
        </w:tc>
      </w:tr>
    </w:tbl>
    <w:p w:rsidR="00CE4C87" w:rsidRDefault="00CE4C87" w:rsidP="0093067A"/>
    <w:sectPr w:rsidR="00CE4C87" w:rsidSect="00F26428">
      <w:footerReference w:type="even" r:id="rId14"/>
      <w:headerReference w:type="first" r:id="rId15"/>
      <w:footerReference w:type="first" r:id="rId16"/>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90" w:rsidRDefault="005B1390" w:rsidP="004A6D2F">
      <w:r>
        <w:separator/>
      </w:r>
    </w:p>
  </w:endnote>
  <w:endnote w:type="continuationSeparator" w:id="0">
    <w:p w:rsidR="005B1390" w:rsidRDefault="005B139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90" w:rsidRDefault="005B1390" w:rsidP="004A6D2F">
      <w:r>
        <w:separator/>
      </w:r>
    </w:p>
  </w:footnote>
  <w:footnote w:type="continuationSeparator" w:id="0">
    <w:p w:rsidR="005B1390" w:rsidRDefault="005B139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14:anchorId="5DDDC6CA" wp14:editId="5DDDC6CB">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5449EF"/>
    <w:multiLevelType w:val="hybridMultilevel"/>
    <w:tmpl w:val="51746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0F600C"/>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1E6168"/>
    <w:rsid w:val="002069B3"/>
    <w:rsid w:val="00220F89"/>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5B6"/>
    <w:rsid w:val="00581805"/>
    <w:rsid w:val="00585F76"/>
    <w:rsid w:val="005A2220"/>
    <w:rsid w:val="005A34E4"/>
    <w:rsid w:val="005B1390"/>
    <w:rsid w:val="005B17F2"/>
    <w:rsid w:val="005B7FB0"/>
    <w:rsid w:val="005C35A5"/>
    <w:rsid w:val="005C577C"/>
    <w:rsid w:val="005D0621"/>
    <w:rsid w:val="005D1E27"/>
    <w:rsid w:val="005D20B3"/>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C7229"/>
    <w:rsid w:val="007E2A26"/>
    <w:rsid w:val="007F2348"/>
    <w:rsid w:val="00803CDF"/>
    <w:rsid w:val="00803F07"/>
    <w:rsid w:val="0080749A"/>
    <w:rsid w:val="008077FD"/>
    <w:rsid w:val="008201EC"/>
    <w:rsid w:val="00821AAF"/>
    <w:rsid w:val="00821FB8"/>
    <w:rsid w:val="00822ACD"/>
    <w:rsid w:val="00855C66"/>
    <w:rsid w:val="00871EE4"/>
    <w:rsid w:val="008B293F"/>
    <w:rsid w:val="008B7371"/>
    <w:rsid w:val="008D3DDB"/>
    <w:rsid w:val="008F573F"/>
    <w:rsid w:val="009034EC"/>
    <w:rsid w:val="009305B8"/>
    <w:rsid w:val="0093067A"/>
    <w:rsid w:val="00941C60"/>
    <w:rsid w:val="00966D42"/>
    <w:rsid w:val="00971689"/>
    <w:rsid w:val="00973E90"/>
    <w:rsid w:val="00975B07"/>
    <w:rsid w:val="00980B4A"/>
    <w:rsid w:val="009E3D0A"/>
    <w:rsid w:val="009E51FC"/>
    <w:rsid w:val="009F1D28"/>
    <w:rsid w:val="009F7618"/>
    <w:rsid w:val="00A04D23"/>
    <w:rsid w:val="00A06766"/>
    <w:rsid w:val="00A11E10"/>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02544"/>
    <w:rsid w:val="00D11E1C"/>
    <w:rsid w:val="00D160B0"/>
    <w:rsid w:val="00D17F94"/>
    <w:rsid w:val="00D223FC"/>
    <w:rsid w:val="00D26D1E"/>
    <w:rsid w:val="00D474CF"/>
    <w:rsid w:val="00D5547E"/>
    <w:rsid w:val="00D6683E"/>
    <w:rsid w:val="00D73B80"/>
    <w:rsid w:val="00D82D6A"/>
    <w:rsid w:val="00D90A28"/>
    <w:rsid w:val="00DA413F"/>
    <w:rsid w:val="00DA4584"/>
    <w:rsid w:val="00DA614B"/>
    <w:rsid w:val="00DC3060"/>
    <w:rsid w:val="00DD2FED"/>
    <w:rsid w:val="00DE0FB2"/>
    <w:rsid w:val="00DE760E"/>
    <w:rsid w:val="00DF093E"/>
    <w:rsid w:val="00E01F42"/>
    <w:rsid w:val="00E206D6"/>
    <w:rsid w:val="00E3366E"/>
    <w:rsid w:val="00E460EE"/>
    <w:rsid w:val="00E52086"/>
    <w:rsid w:val="00E543A6"/>
    <w:rsid w:val="00E60479"/>
    <w:rsid w:val="00E61D73"/>
    <w:rsid w:val="00E73684"/>
    <w:rsid w:val="00E818D6"/>
    <w:rsid w:val="00E87F7A"/>
    <w:rsid w:val="00E96BD7"/>
    <w:rsid w:val="00EA0DB1"/>
    <w:rsid w:val="00EA0EE9"/>
    <w:rsid w:val="00EB6662"/>
    <w:rsid w:val="00ED52CA"/>
    <w:rsid w:val="00ED5860"/>
    <w:rsid w:val="00EE35C9"/>
    <w:rsid w:val="00EE4946"/>
    <w:rsid w:val="00F05B0D"/>
    <w:rsid w:val="00F05ECA"/>
    <w:rsid w:val="00F26428"/>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650E"/>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E0F7B1C-9A33-4CEF-AF58-21C9ABC2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9819642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536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shirelep.com/sites/default/files/uploads/FINAL%20-%20OxLEP%20annual%20report%2018-19%20v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tsby.org.uk/education/focus-areas/good-career-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4BB18735-322C-4FBF-B8DB-195DEF32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3ABAF353.dotm</Template>
  <TotalTime>18</TotalTime>
  <Pages>5</Pages>
  <Words>1602</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7</cp:revision>
  <cp:lastPrinted>2015-07-03T12:50:00Z</cp:lastPrinted>
  <dcterms:created xsi:type="dcterms:W3CDTF">2020-03-18T12:19:00Z</dcterms:created>
  <dcterms:modified xsi:type="dcterms:W3CDTF">2020-07-13T11:50:00Z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